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#106</w:t>
      </w:r>
      <w:r>
        <w:rPr>
          <w:rFonts w:hint="eastAsia" w:ascii="Arial" w:hAnsi="Arial" w:cs="Arial"/>
          <w:b/>
          <w:bCs/>
          <w:sz w:val="28"/>
          <w:szCs w:val="24"/>
          <w:lang w:val="en-US" w:eastAsia="zh-CN"/>
        </w:rPr>
        <w:t>b</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bookmarkStart w:id="5" w:name="_GoBack"/>
      <w:r>
        <w:rPr>
          <w:rFonts w:hint="eastAsia" w:ascii="Arial" w:hAnsi="Arial" w:eastAsia="Batang" w:cs="Arial"/>
          <w:b/>
          <w:bCs/>
          <w:sz w:val="28"/>
          <w:szCs w:val="24"/>
          <w:lang w:eastAsia="en-US"/>
        </w:rPr>
        <w:t>R1-2109290</w:t>
      </w:r>
      <w:bookmarkEnd w:id="5"/>
    </w:p>
    <w:p>
      <w:pPr>
        <w:bidi w:val="0"/>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October 11th – 19th, 2021</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RAN1 aspects for RAN2-led features for RedCap</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eastAsiaTheme="minorEastAsia"/>
          <w:bCs/>
          <w:lang w:val="en-US" w:eastAsia="zh-CN"/>
        </w:rPr>
      </w:pPr>
      <w:r>
        <w:rPr>
          <w:rFonts w:eastAsiaTheme="minorEastAsia"/>
          <w:bCs/>
          <w:lang w:val="en-US" w:eastAsia="zh-CN"/>
        </w:rPr>
        <w:t>In RAN1#10</w:t>
      </w:r>
      <w:r>
        <w:rPr>
          <w:rFonts w:hint="eastAsia" w:eastAsiaTheme="minorEastAsia"/>
          <w:bCs/>
          <w:lang w:val="en-US" w:eastAsia="zh-CN"/>
        </w:rPr>
        <w:t>6</w:t>
      </w:r>
      <w:r>
        <w:rPr>
          <w:rFonts w:eastAsiaTheme="minorEastAsia"/>
          <w:bCs/>
          <w:lang w:val="en-US" w:eastAsia="zh-CN"/>
        </w:rPr>
        <w:t xml:space="preserve">e, </w:t>
      </w:r>
      <w:r>
        <w:rPr>
          <w:rFonts w:hint="eastAsia" w:eastAsiaTheme="minorEastAsia"/>
          <w:bCs/>
          <w:lang w:val="en-US" w:eastAsia="zh-CN"/>
        </w:rPr>
        <w:t>th</w:t>
      </w:r>
      <w:r>
        <w:rPr>
          <w:rFonts w:eastAsiaTheme="minorEastAsia"/>
          <w:bCs/>
          <w:lang w:val="en-US" w:eastAsia="zh-CN"/>
        </w:rPr>
        <w:t>e following agreements related to RedCap UE type definition and early identification are made</w:t>
      </w:r>
      <w:r>
        <w:rPr>
          <w:rFonts w:hint="eastAsia" w:eastAsiaTheme="minorEastAsia"/>
          <w:bCs/>
          <w:lang w:val="en-US" w:eastAsia="zh-CN"/>
        </w:rPr>
        <w:t>[1]</w:t>
      </w:r>
      <w:r>
        <w:rPr>
          <w:rFonts w:eastAsiaTheme="minorEastAsia"/>
          <w:bCs/>
          <w:lang w:val="en-US" w:eastAsia="zh-CN"/>
        </w:rPr>
        <w:t>,</w:t>
      </w:r>
    </w:p>
    <w:p>
      <w:pPr>
        <w:spacing w:before="0" w:after="0"/>
        <w:ind w:left="0" w:firstLine="0"/>
        <w:rPr>
          <w:rFonts w:ascii="Times New Roman" w:hAnsi="Times New Roman" w:eastAsia="宋体"/>
          <w:color w:val="000000"/>
          <w:szCs w:val="20"/>
          <w:highlight w:val="green"/>
          <w:lang w:val="en-US" w:eastAsia="zh-CN"/>
        </w:rPr>
      </w:pPr>
      <w:r>
        <w:rPr>
          <w:rFonts w:ascii="Times New Roman" w:hAnsi="Times New Roman" w:eastAsia="宋体"/>
          <w:color w:val="000000"/>
          <w:szCs w:val="20"/>
          <w:highlight w:val="green"/>
          <w:shd w:val="clear" w:color="auto" w:fill="00FFFF"/>
          <w:lang w:eastAsia="zh-CN"/>
        </w:rPr>
        <w:t>Agreement</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A RedCap UE type from RAN1 point of view supports a maximum bandwidth of 20MHz for FR1 and 100MHz for FR2</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Further discuss whether to capture also one or more of the following capabilities to RedCap UE type description</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1 or 2 Rx branches and corresponding maximum DL MIMO layers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FD-FDD or Type A HD-FDD operation for FR1 FDD bands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DL up to 64 QAM or up to 256 QAM for FR1</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Does not support CA/DC</w:t>
      </w:r>
    </w:p>
    <w:p>
      <w:pPr>
        <w:spacing w:before="0" w:after="0"/>
        <w:ind w:left="0" w:firstLine="0"/>
        <w:jc w:val="both"/>
        <w:rPr>
          <w:rFonts w:ascii="Times" w:hAnsi="Times" w:eastAsia="Batang"/>
          <w:bCs/>
          <w:szCs w:val="24"/>
          <w:highlight w:val="green"/>
          <w:lang w:eastAsia="en-US"/>
        </w:rPr>
      </w:pPr>
      <w:r>
        <w:rPr>
          <w:rFonts w:ascii="Times" w:hAnsi="Times" w:eastAsia="Batang"/>
          <w:bCs/>
          <w:szCs w:val="24"/>
          <w:highlight w:val="green"/>
          <w:lang w:eastAsia="en-US"/>
        </w:rPr>
        <w:t>Agreement</w:t>
      </w:r>
    </w:p>
    <w:p>
      <w:pPr>
        <w:spacing w:before="0" w:after="0" w:line="252" w:lineRule="auto"/>
        <w:ind w:left="0" w:firstLine="0"/>
        <w:jc w:val="both"/>
        <w:rPr>
          <w:rFonts w:ascii="Times" w:hAnsi="Times" w:eastAsia="Times New Roman"/>
          <w:szCs w:val="24"/>
          <w:lang w:val="en-US" w:eastAsia="en-US"/>
        </w:rPr>
      </w:pPr>
      <w:r>
        <w:rPr>
          <w:rFonts w:ascii="Times" w:hAnsi="Times" w:eastAsia="Batang"/>
          <w:bCs/>
          <w:szCs w:val="22"/>
          <w:lang w:eastAsia="zh-CN"/>
        </w:rPr>
        <w:t>Confirm the following working assumption with the modifications in red:</w:t>
      </w:r>
    </w:p>
    <w:p>
      <w:pPr>
        <w:numPr>
          <w:ilvl w:val="0"/>
          <w:numId w:val="8"/>
        </w:numPr>
        <w:spacing w:before="0" w:after="0" w:line="252" w:lineRule="auto"/>
        <w:ind w:left="720" w:hanging="360"/>
        <w:jc w:val="both"/>
        <w:rPr>
          <w:rFonts w:ascii="Times" w:hAnsi="Times" w:eastAsia="Times New Roman"/>
          <w:szCs w:val="24"/>
          <w:lang w:val="en-US" w:eastAsia="en-US"/>
        </w:rPr>
      </w:pPr>
      <w:r>
        <w:rPr>
          <w:rFonts w:ascii="Times" w:hAnsi="Times" w:eastAsia="Times New Roman"/>
          <w:szCs w:val="24"/>
          <w:lang w:eastAsia="zh-CN"/>
        </w:rPr>
        <w:t>For 4-step RACH, support the early indication of RedCap UEs at least in Msg1.</w:t>
      </w:r>
    </w:p>
    <w:p>
      <w:pPr>
        <w:numPr>
          <w:ilvl w:val="1"/>
          <w:numId w:val="8"/>
        </w:numPr>
        <w:spacing w:before="0" w:after="0" w:line="252" w:lineRule="auto"/>
        <w:ind w:left="1440" w:hanging="360"/>
        <w:jc w:val="both"/>
        <w:rPr>
          <w:rFonts w:ascii="Times" w:hAnsi="Times" w:eastAsia="Times New Roman"/>
          <w:szCs w:val="24"/>
          <w:lang w:eastAsia="en-US"/>
        </w:rPr>
      </w:pPr>
      <w:r>
        <w:rPr>
          <w:rFonts w:ascii="Times" w:hAnsi="Times" w:eastAsia="Times New Roman"/>
          <w:szCs w:val="24"/>
          <w:lang w:eastAsia="en-US"/>
        </w:rPr>
        <w:t>The early indication in Msg1 can be configured to be enabled/disabled</w:t>
      </w:r>
      <w:r>
        <w:rPr>
          <w:rFonts w:ascii="Times" w:hAnsi="Times" w:eastAsia="Times New Roman"/>
          <w:szCs w:val="24"/>
          <w:u w:val="single"/>
          <w:lang w:eastAsia="en-US"/>
        </w:rPr>
        <w:t xml:space="preserve"> via SIB</w:t>
      </w:r>
    </w:p>
    <w:p>
      <w:pPr>
        <w:numPr>
          <w:ilvl w:val="2"/>
          <w:numId w:val="8"/>
        </w:numPr>
        <w:spacing w:before="0" w:after="0" w:line="252" w:lineRule="auto"/>
        <w:ind w:left="2160" w:hanging="360"/>
        <w:jc w:val="both"/>
        <w:rPr>
          <w:rFonts w:ascii="Times" w:hAnsi="Times" w:eastAsia="Times New Roman"/>
          <w:strike/>
          <w:szCs w:val="24"/>
          <w:lang w:eastAsia="en-US"/>
        </w:rPr>
      </w:pPr>
      <w:r>
        <w:rPr>
          <w:rFonts w:ascii="Times" w:hAnsi="Times" w:eastAsia="Times New Roman"/>
          <w:strike/>
          <w:szCs w:val="24"/>
          <w:lang w:eastAsia="en-US"/>
        </w:rPr>
        <w:t>FFS how to support enable/disable the early indication</w:t>
      </w:r>
    </w:p>
    <w:p>
      <w:pPr>
        <w:numPr>
          <w:ilvl w:val="1"/>
          <w:numId w:val="8"/>
        </w:numPr>
        <w:spacing w:before="0" w:after="0" w:line="252" w:lineRule="auto"/>
        <w:ind w:left="1440" w:hanging="360"/>
        <w:jc w:val="both"/>
        <w:rPr>
          <w:rFonts w:ascii="Times" w:hAnsi="Times" w:eastAsia="Times New Roman"/>
          <w:szCs w:val="24"/>
          <w:lang w:eastAsia="en-US"/>
        </w:rPr>
      </w:pPr>
      <w:r>
        <w:rPr>
          <w:rFonts w:ascii="Times" w:hAnsi="Times" w:eastAsia="Times New Roman"/>
          <w:strike/>
          <w:szCs w:val="24"/>
          <w:lang w:eastAsia="en-US"/>
        </w:rPr>
        <w:t xml:space="preserve">FFS details e.g.: </w:t>
      </w:r>
      <w:r>
        <w:rPr>
          <w:rFonts w:ascii="Times" w:hAnsi="Times" w:eastAsia="Times New Roman"/>
          <w:szCs w:val="24"/>
          <w:u w:val="single"/>
          <w:lang w:eastAsia="en-US"/>
        </w:rPr>
        <w:t xml:space="preserve">From RAN1 perspective, the following methods can be used for early indication both for shared initial UL BWP and </w:t>
      </w:r>
      <w:r>
        <w:rPr>
          <w:rFonts w:ascii="Times" w:hAnsi="Times" w:eastAsia="Times New Roman"/>
          <w:szCs w:val="24"/>
          <w:lang w:eastAsia="en-US"/>
        </w:rPr>
        <w:t xml:space="preserve">separate initial UL BWP </w:t>
      </w:r>
      <w:r>
        <w:rPr>
          <w:rFonts w:ascii="Times" w:hAnsi="Times" w:eastAsia="Times New Roman"/>
          <w:szCs w:val="24"/>
          <w:u w:val="single"/>
          <w:lang w:eastAsia="en-US"/>
        </w:rPr>
        <w:t>(if supported)</w:t>
      </w:r>
    </w:p>
    <w:p>
      <w:pPr>
        <w:numPr>
          <w:ilvl w:val="2"/>
          <w:numId w:val="8"/>
        </w:numPr>
        <w:spacing w:before="0" w:after="0" w:line="252" w:lineRule="auto"/>
        <w:ind w:left="2160" w:hanging="360"/>
        <w:jc w:val="both"/>
        <w:rPr>
          <w:rFonts w:ascii="Times" w:hAnsi="Times" w:eastAsia="Times New Roman"/>
          <w:szCs w:val="24"/>
          <w:lang w:eastAsia="en-US"/>
        </w:rPr>
      </w:pPr>
      <w:r>
        <w:rPr>
          <w:rFonts w:ascii="Times" w:hAnsi="Times" w:eastAsia="Times New Roman"/>
          <w:szCs w:val="24"/>
          <w:lang w:eastAsia="en-US"/>
        </w:rPr>
        <w:t>separate PRACH resource</w:t>
      </w:r>
    </w:p>
    <w:p>
      <w:pPr>
        <w:numPr>
          <w:ilvl w:val="2"/>
          <w:numId w:val="8"/>
        </w:numPr>
        <w:spacing w:before="0" w:after="0" w:line="252" w:lineRule="auto"/>
        <w:ind w:left="2160" w:hanging="360"/>
        <w:jc w:val="both"/>
        <w:rPr>
          <w:rFonts w:ascii="Times" w:hAnsi="Times" w:eastAsia="Times New Roman"/>
          <w:szCs w:val="24"/>
          <w:lang w:eastAsia="en-US"/>
        </w:rPr>
      </w:pPr>
      <w:r>
        <w:rPr>
          <w:rFonts w:ascii="Times" w:hAnsi="Times" w:eastAsia="Times New Roman"/>
          <w:szCs w:val="24"/>
          <w:lang w:eastAsia="en-US"/>
        </w:rPr>
        <w:t>PRACH preamble partitioning</w:t>
      </w:r>
    </w:p>
    <w:p>
      <w:pPr>
        <w:numPr>
          <w:ilvl w:val="2"/>
          <w:numId w:val="8"/>
        </w:numPr>
        <w:spacing w:before="0" w:after="0" w:line="252" w:lineRule="auto"/>
        <w:ind w:left="2160" w:hanging="360"/>
        <w:jc w:val="both"/>
        <w:rPr>
          <w:rFonts w:ascii="Times" w:hAnsi="Times" w:eastAsia="Times New Roman"/>
          <w:strike/>
          <w:szCs w:val="24"/>
          <w:u w:val="single"/>
          <w:lang w:eastAsia="en-US"/>
        </w:rPr>
      </w:pPr>
      <w:r>
        <w:rPr>
          <w:rFonts w:hint="eastAsia" w:ascii="Times" w:hAnsi="Times" w:eastAsia="Yu Mincho"/>
          <w:strike/>
          <w:szCs w:val="24"/>
          <w:u w:val="single"/>
          <w:lang w:eastAsia="ja-JP"/>
        </w:rPr>
        <w:t>F</w:t>
      </w:r>
      <w:r>
        <w:rPr>
          <w:rFonts w:ascii="Times" w:hAnsi="Times" w:eastAsia="Yu Mincho"/>
          <w:strike/>
          <w:szCs w:val="24"/>
          <w:u w:val="single"/>
          <w:lang w:eastAsia="ja-JP"/>
        </w:rPr>
        <w:t>FS: whether/how to address RA-RNTI overlapping issue</w:t>
      </w:r>
    </w:p>
    <w:p>
      <w:pPr>
        <w:numPr>
          <w:ilvl w:val="1"/>
          <w:numId w:val="8"/>
        </w:numPr>
        <w:spacing w:before="0" w:after="0" w:line="252" w:lineRule="auto"/>
        <w:ind w:left="1440" w:hanging="360"/>
        <w:jc w:val="both"/>
        <w:rPr>
          <w:rFonts w:ascii="Times" w:hAnsi="Times" w:eastAsia="Times New Roman"/>
          <w:strike/>
          <w:szCs w:val="24"/>
          <w:lang w:eastAsia="en-US"/>
        </w:rPr>
      </w:pPr>
      <w:r>
        <w:rPr>
          <w:rFonts w:ascii="Times" w:hAnsi="Times" w:eastAsia="Times New Roman"/>
          <w:strike/>
          <w:szCs w:val="24"/>
          <w:lang w:eastAsia="en-US"/>
        </w:rPr>
        <w:t xml:space="preserve">FFS the possibility of supporting Msg3 for the early indication </w:t>
      </w:r>
    </w:p>
    <w:p>
      <w:pPr>
        <w:spacing w:before="0" w:after="0"/>
        <w:ind w:left="0" w:firstLine="0"/>
        <w:rPr>
          <w:rFonts w:ascii="Times" w:hAnsi="Times" w:eastAsia="Batang"/>
          <w:bCs/>
          <w:szCs w:val="22"/>
          <w:lang w:eastAsia="zh-CN"/>
        </w:rPr>
      </w:pPr>
      <w:r>
        <w:rPr>
          <w:rFonts w:ascii="Times" w:hAnsi="Times" w:eastAsia="Batang"/>
          <w:bCs/>
          <w:szCs w:val="22"/>
          <w:lang w:eastAsia="zh-CN"/>
        </w:rPr>
        <w:t>Whether/how to support early indication of RedCap UEs in Msg3 in Rel-17 is up to RAN2.</w:t>
      </w:r>
    </w:p>
    <w:p>
      <w:pPr>
        <w:rPr>
          <w:highlight w:val="darkYellow"/>
        </w:rPr>
      </w:pPr>
    </w:p>
    <w:p>
      <w:pPr>
        <w:overflowPunct w:val="0"/>
        <w:autoSpaceDE w:val="0"/>
        <w:autoSpaceDN w:val="0"/>
        <w:adjustRightInd w:val="0"/>
        <w:spacing w:before="0"/>
        <w:jc w:val="both"/>
        <w:textAlignment w:val="baseline"/>
        <w:rPr>
          <w:rFonts w:hint="eastAsia"/>
          <w:bCs/>
          <w:lang w:val="en-US" w:eastAsia="zh-CN"/>
        </w:rPr>
      </w:pPr>
      <w:r>
        <w:rPr>
          <w:rFonts w:hint="eastAsia"/>
          <w:bCs/>
          <w:lang w:val="en-US" w:eastAsia="zh-CN"/>
        </w:rPr>
        <w:t>In RAN1#105e, agreements related to 2-step RACH were made as following[2],</w:t>
      </w:r>
    </w:p>
    <w:p>
      <w:pPr>
        <w:spacing w:before="0" w:after="0"/>
        <w:ind w:left="0" w:firstLine="0"/>
        <w:jc w:val="both"/>
        <w:rPr>
          <w:rFonts w:ascii="Times New Roman" w:hAnsi="Times New Roman" w:eastAsia="Batang"/>
          <w:szCs w:val="20"/>
          <w:highlight w:val="green"/>
          <w:lang w:eastAsia="ja-JP"/>
        </w:rPr>
      </w:pPr>
      <w:r>
        <w:rPr>
          <w:rFonts w:ascii="Times" w:hAnsi="Times" w:eastAsia="Batang"/>
          <w:szCs w:val="20"/>
          <w:highlight w:val="green"/>
          <w:lang w:eastAsia="ja-JP"/>
        </w:rPr>
        <w:t>Agreement:</w:t>
      </w:r>
    </w:p>
    <w:p>
      <w:pPr>
        <w:numPr>
          <w:ilvl w:val="0"/>
          <w:numId w:val="8"/>
        </w:numPr>
        <w:overflowPunct/>
        <w:autoSpaceDE/>
        <w:autoSpaceDN/>
        <w:adjustRightInd/>
        <w:spacing w:after="180" w:line="252" w:lineRule="auto"/>
        <w:ind w:left="720" w:hanging="360"/>
        <w:contextualSpacing/>
        <w:jc w:val="both"/>
        <w:textAlignment w:val="auto"/>
        <w:rPr>
          <w:rFonts w:ascii="Times New Roman" w:hAnsi="Times New Roman" w:eastAsia="宋体" w:cs="Times"/>
          <w:szCs w:val="20"/>
          <w:lang w:val="en-GB" w:eastAsia="ja-JP" w:bidi="ar-SA"/>
        </w:rPr>
      </w:pPr>
      <w:r>
        <w:rPr>
          <w:rFonts w:ascii="Times New Roman" w:hAnsi="Times New Roman" w:eastAsia="宋体" w:cs="Times New Roman"/>
          <w:szCs w:val="20"/>
          <w:lang w:val="en-GB" w:eastAsia="zh-CN" w:bidi="ar-SA"/>
        </w:rPr>
        <w:t>Support 2-step RACH for RedCap UEs as an optional feature</w:t>
      </w:r>
    </w:p>
    <w:p>
      <w:pPr>
        <w:numPr>
          <w:ilvl w:val="1"/>
          <w:numId w:val="8"/>
        </w:numPr>
        <w:overflowPunct/>
        <w:autoSpaceDE/>
        <w:autoSpaceDN/>
        <w:adjustRightInd/>
        <w:spacing w:after="180" w:line="252" w:lineRule="auto"/>
        <w:ind w:left="144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zh-CN" w:bidi="ar-SA"/>
        </w:rPr>
        <w:t>FFS details of early indication in MsgA, e.g.:</w:t>
      </w:r>
    </w:p>
    <w:p>
      <w:pPr>
        <w:numPr>
          <w:ilvl w:val="2"/>
          <w:numId w:val="8"/>
        </w:numPr>
        <w:overflowPunct/>
        <w:autoSpaceDE/>
        <w:autoSpaceDN/>
        <w:adjustRightInd/>
        <w:spacing w:after="180" w:line="252" w:lineRule="auto"/>
        <w:ind w:left="216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Separation of 2-step RACH resources or MsgA preambles</w:t>
      </w:r>
    </w:p>
    <w:p>
      <w:pPr>
        <w:numPr>
          <w:ilvl w:val="2"/>
          <w:numId w:val="8"/>
        </w:numPr>
        <w:overflowPunct/>
        <w:autoSpaceDE/>
        <w:autoSpaceDN/>
        <w:adjustRightInd/>
        <w:spacing w:after="180" w:line="252" w:lineRule="auto"/>
        <w:ind w:left="216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Separation of initial UL BWP</w:t>
      </w:r>
    </w:p>
    <w:p>
      <w:pPr>
        <w:numPr>
          <w:ilvl w:val="2"/>
          <w:numId w:val="8"/>
        </w:numPr>
        <w:overflowPunct/>
        <w:autoSpaceDE/>
        <w:autoSpaceDN/>
        <w:adjustRightInd/>
        <w:spacing w:after="180" w:line="252" w:lineRule="auto"/>
        <w:ind w:left="2160" w:hanging="360"/>
        <w:contextualSpacing/>
        <w:jc w:val="both"/>
        <w:textAlignment w:val="auto"/>
        <w:rPr>
          <w:rFonts w:ascii="Segoe UI" w:hAnsi="Segoe UI" w:eastAsia="宋体" w:cs="Segoe UI"/>
          <w:szCs w:val="20"/>
          <w:lang w:val="en-US" w:eastAsia="ja-JP" w:bidi="ar-SA"/>
        </w:rPr>
      </w:pPr>
      <w:r>
        <w:rPr>
          <w:rFonts w:ascii="Times New Roman" w:hAnsi="Times New Roman" w:eastAsia="宋体" w:cs="Times New Roman"/>
          <w:szCs w:val="20"/>
          <w:lang w:val="en-GB" w:eastAsia="ja-JP" w:bidi="ar-SA"/>
        </w:rPr>
        <w:t>Using a new indication in MsgA PUSCH part</w:t>
      </w:r>
    </w:p>
    <w:p>
      <w:pPr>
        <w:numPr>
          <w:ilvl w:val="1"/>
          <w:numId w:val="8"/>
        </w:numPr>
        <w:overflowPunct/>
        <w:autoSpaceDE/>
        <w:autoSpaceDN/>
        <w:adjustRightInd/>
        <w:spacing w:after="180" w:line="252" w:lineRule="auto"/>
        <w:ind w:left="1440" w:hanging="360"/>
        <w:contextualSpacing/>
        <w:jc w:val="both"/>
        <w:textAlignment w:val="auto"/>
        <w:rPr>
          <w:rFonts w:hint="default"/>
          <w:bCs/>
          <w:lang w:val="en-US" w:eastAsia="zh-CN"/>
        </w:rPr>
      </w:pPr>
      <w:r>
        <w:rPr>
          <w:rFonts w:ascii="Times New Roman" w:hAnsi="Times New Roman" w:eastAsia="宋体" w:cs="Times New Roman"/>
          <w:szCs w:val="20"/>
          <w:lang w:val="en-GB" w:eastAsia="ja-JP" w:bidi="ar-SA"/>
        </w:rPr>
        <w:t>Note: Discussion on 4-step RACH for early indication should be prioritised</w:t>
      </w:r>
    </w:p>
    <w:p>
      <w:pPr>
        <w:overflowPunct w:val="0"/>
        <w:autoSpaceDE w:val="0"/>
        <w:autoSpaceDN w:val="0"/>
        <w:adjustRightInd w:val="0"/>
        <w:spacing w:before="0"/>
        <w:jc w:val="both"/>
        <w:textAlignment w:val="baseline"/>
        <w:rPr>
          <w:bCs/>
          <w:lang w:eastAsia="zh-CN"/>
        </w:rPr>
      </w:pPr>
      <w:r>
        <w:rPr>
          <w:bCs/>
          <w:lang w:eastAsia="zh-CN"/>
        </w:rPr>
        <w:t>In this contribution, higher layer aspects such as RedCap UE type definition, UE early identification are discussed.</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Discussion on definition of RedCap UE type</w:t>
      </w:r>
    </w:p>
    <w:p>
      <w:pPr>
        <w:rPr>
          <w:rFonts w:hint="eastAsia" w:eastAsia="等线"/>
          <w:highlight w:val="none"/>
          <w:lang w:val="en-US" w:eastAsia="zh-CN"/>
        </w:rPr>
      </w:pPr>
      <w:r>
        <w:rPr>
          <w:rFonts w:hint="eastAsia"/>
          <w:lang w:val="en-US" w:eastAsia="zh-CN"/>
        </w:rPr>
        <w:t>To our understanding, t</w:t>
      </w:r>
      <w:r>
        <w:rPr>
          <w:lang w:eastAsia="zh-CN"/>
        </w:rPr>
        <w:t xml:space="preserve">he definition of RedCap UE type </w:t>
      </w:r>
      <w:r>
        <w:rPr>
          <w:rFonts w:hint="eastAsia"/>
          <w:lang w:val="en-US" w:eastAsia="zh-CN"/>
        </w:rPr>
        <w:t xml:space="preserve">is to </w:t>
      </w:r>
      <w:r>
        <w:rPr>
          <w:lang w:eastAsia="zh-CN"/>
        </w:rPr>
        <w:t xml:space="preserve">differentiate it from non-RedCap devices, and give a picture of key capabilities that RedCap devices support. </w:t>
      </w:r>
      <w:r>
        <w:rPr>
          <w:rFonts w:hint="eastAsia"/>
          <w:lang w:val="en-US" w:eastAsia="zh-CN"/>
        </w:rPr>
        <w:t xml:space="preserve">As the WID describes, the motivation for RedCap UE type definition is </w:t>
      </w:r>
      <w:r>
        <w:rPr>
          <w:rFonts w:hint="default"/>
          <w:lang w:val="en-US" w:eastAsia="zh-CN"/>
        </w:rPr>
        <w:t>”</w:t>
      </w:r>
      <w:r>
        <w:rPr>
          <w:rFonts w:eastAsia="宋体"/>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r>
        <w:rPr>
          <w:rFonts w:eastAsia="宋体"/>
          <w:bCs/>
          <w:lang w:val="en-US" w:eastAsia="ja-JP"/>
        </w:rPr>
        <w:t>.</w:t>
      </w:r>
      <w:r>
        <w:rPr>
          <w:rFonts w:hint="default"/>
          <w:bCs/>
          <w:lang w:val="en-US" w:eastAsia="zh-CN"/>
        </w:rPr>
        <w:t>”</w:t>
      </w:r>
      <w:r>
        <w:rPr>
          <w:rFonts w:hint="eastAsia"/>
          <w:bCs/>
          <w:lang w:val="en-US" w:eastAsia="zh-CN"/>
        </w:rPr>
        <w:t xml:space="preserve"> </w:t>
      </w:r>
      <w:r>
        <w:rPr>
          <w:rFonts w:hint="eastAsia" w:eastAsia="等线"/>
          <w:highlight w:val="none"/>
          <w:lang w:val="en-US" w:eastAsia="zh-CN"/>
        </w:rPr>
        <w:t>T</w:t>
      </w:r>
      <w:r>
        <w:rPr>
          <w:rFonts w:eastAsia="等线"/>
          <w:highlight w:val="none"/>
          <w:lang w:eastAsia="zh-CN"/>
        </w:rPr>
        <w:t>o constrain the use of those RedCap capabilities only for RedCap UEs</w:t>
      </w:r>
      <w:r>
        <w:rPr>
          <w:rFonts w:hint="eastAsia" w:eastAsia="等线"/>
          <w:highlight w:val="none"/>
          <w:lang w:val="en-US" w:eastAsia="zh-CN"/>
        </w:rPr>
        <w:t xml:space="preserve"> and prevent </w:t>
      </w:r>
      <w:r>
        <w:rPr>
          <w:rFonts w:eastAsia="等线"/>
          <w:highlight w:val="none"/>
          <w:lang w:eastAsia="zh-CN"/>
        </w:rPr>
        <w:t>RedCap UEs</w:t>
      </w:r>
      <w:r>
        <w:rPr>
          <w:rFonts w:hint="eastAsia" w:eastAsia="等线"/>
          <w:highlight w:val="none"/>
          <w:lang w:val="en-US" w:eastAsia="zh-CN"/>
        </w:rPr>
        <w:t xml:space="preserve"> from using capabilities not intented for them</w:t>
      </w:r>
      <w:r>
        <w:rPr>
          <w:rFonts w:eastAsia="等线"/>
          <w:highlight w:val="none"/>
          <w:lang w:eastAsia="zh-CN"/>
        </w:rPr>
        <w:t>, it should be clear enough that what RedCap capabilities they are supposed to use</w:t>
      </w:r>
      <w:r>
        <w:rPr>
          <w:rFonts w:hint="eastAsia" w:eastAsia="等线"/>
          <w:highlight w:val="none"/>
          <w:lang w:val="en-US" w:eastAsia="zh-CN"/>
        </w:rPr>
        <w:t xml:space="preserve"> for </w:t>
      </w:r>
      <w:r>
        <w:rPr>
          <w:rFonts w:eastAsia="等线"/>
          <w:highlight w:val="none"/>
          <w:lang w:eastAsia="zh-CN"/>
        </w:rPr>
        <w:t xml:space="preserve">RedCap </w:t>
      </w:r>
      <w:r>
        <w:rPr>
          <w:rFonts w:hint="eastAsia" w:eastAsia="等线"/>
          <w:highlight w:val="none"/>
          <w:lang w:val="en-US" w:eastAsia="zh-CN"/>
        </w:rPr>
        <w:t>UEs. So the minimum set of the reduced capabilities that characterize RedCap devices should be included in the type definition, including the following features described in the WID,</w:t>
      </w:r>
    </w:p>
    <w:p>
      <w:pPr>
        <w:pStyle w:val="134"/>
        <w:numPr>
          <w:ilvl w:val="0"/>
          <w:numId w:val="9"/>
        </w:numPr>
        <w:ind w:leftChars="0"/>
        <w:rPr>
          <w:rFonts w:eastAsiaTheme="minorEastAsia"/>
          <w:lang w:eastAsia="zh-CN"/>
        </w:rPr>
      </w:pPr>
      <w:r>
        <w:rPr>
          <w:rFonts w:eastAsiaTheme="minorEastAsia"/>
          <w:b/>
          <w:lang w:eastAsia="zh-CN"/>
        </w:rPr>
        <w:t>Reduced maximum UE bandwidth:</w:t>
      </w:r>
      <w:r>
        <w:rPr>
          <w:rFonts w:eastAsiaTheme="minorEastAsia"/>
          <w:lang w:eastAsia="zh-CN"/>
        </w:rPr>
        <w:t xml:space="preserve"> the </w:t>
      </w:r>
      <w:r>
        <w:t>maximum UE bandwidth</w:t>
      </w:r>
      <w:r>
        <w:rPr>
          <w:rStyle w:val="158"/>
          <w:color w:val="000000"/>
          <w:shd w:val="clear" w:color="auto" w:fill="FFFFFF"/>
        </w:rPr>
        <w:t xml:space="preserve"> is </w:t>
      </w:r>
      <w:r>
        <w:rPr>
          <w:rFonts w:eastAsiaTheme="minorEastAsia"/>
          <w:bCs/>
          <w:lang w:eastAsia="zh-CN"/>
        </w:rPr>
        <w:t>20 MHz for FR1 and 100 MHz for FR2</w:t>
      </w:r>
    </w:p>
    <w:p>
      <w:pPr>
        <w:pStyle w:val="134"/>
        <w:numPr>
          <w:ilvl w:val="0"/>
          <w:numId w:val="9"/>
        </w:numPr>
        <w:ind w:leftChars="0"/>
        <w:rPr>
          <w:lang w:eastAsia="zh-CN"/>
        </w:rPr>
      </w:pPr>
      <w:r>
        <w:rPr>
          <w:rFonts w:eastAsiaTheme="minorEastAsia"/>
          <w:b/>
          <w:lang w:eastAsia="zh-CN"/>
        </w:rPr>
        <w:t>Reduced minimum number of Rx branches:</w:t>
      </w:r>
      <w:r>
        <w:rPr>
          <w:rFonts w:eastAsiaTheme="minorEastAsia"/>
          <w:lang w:eastAsia="zh-CN"/>
        </w:rPr>
        <w:t xml:space="preserve"> the minimum number is 1Rx, the specification also supports 2Rx;</w:t>
      </w:r>
    </w:p>
    <w:p>
      <w:pPr>
        <w:pStyle w:val="134"/>
        <w:numPr>
          <w:ilvl w:val="0"/>
          <w:numId w:val="9"/>
        </w:numPr>
        <w:ind w:leftChars="0"/>
        <w:rPr>
          <w:lang w:eastAsia="zh-CN"/>
        </w:rPr>
      </w:pPr>
      <w:r>
        <w:rPr>
          <w:rFonts w:eastAsiaTheme="minorEastAsia"/>
          <w:b/>
          <w:lang w:eastAsia="zh-CN"/>
        </w:rPr>
        <w:t>Maximum number of DL MIMO layers</w:t>
      </w:r>
      <w:r>
        <w:rPr>
          <w:rFonts w:eastAsiaTheme="minorEastAsia"/>
          <w:lang w:eastAsia="zh-CN"/>
        </w:rPr>
        <w:t>: 1 DL MIMO layer for 1Rx branch, 2 DL MIMO layer for 2Rx branches.</w:t>
      </w:r>
    </w:p>
    <w:p>
      <w:pPr>
        <w:pStyle w:val="134"/>
        <w:numPr>
          <w:ilvl w:val="0"/>
          <w:numId w:val="9"/>
        </w:numPr>
        <w:ind w:leftChars="0"/>
        <w:rPr>
          <w:lang w:eastAsia="zh-CN"/>
        </w:rPr>
      </w:pPr>
      <w:r>
        <w:rPr>
          <w:rFonts w:eastAsiaTheme="minorEastAsia"/>
          <w:b/>
          <w:lang w:eastAsia="zh-CN"/>
        </w:rPr>
        <w:t>Relaxed maximum modulation order</w:t>
      </w:r>
      <w:r>
        <w:rPr>
          <w:rFonts w:eastAsiaTheme="minorEastAsia"/>
          <w:lang w:eastAsia="zh-CN"/>
        </w:rPr>
        <w:t xml:space="preserve">: </w:t>
      </w:r>
      <w:r>
        <w:t>support of 256QAM in DL is optional (instead of mandatory) for an FR1 RedCap UE.</w:t>
      </w:r>
    </w:p>
    <w:p>
      <w:pPr>
        <w:pStyle w:val="134"/>
        <w:numPr>
          <w:ilvl w:val="0"/>
          <w:numId w:val="9"/>
        </w:numPr>
        <w:ind w:leftChars="0"/>
        <w:rPr>
          <w:lang w:eastAsia="zh-CN"/>
        </w:rPr>
      </w:pPr>
      <w:r>
        <w:rPr>
          <w:rFonts w:eastAsiaTheme="minorEastAsia"/>
          <w:b/>
          <w:lang w:eastAsia="zh-CN"/>
        </w:rPr>
        <w:t>Half-duplex FDD</w:t>
      </w:r>
      <w:r>
        <w:rPr>
          <w:rFonts w:eastAsiaTheme="minorEastAsia"/>
          <w:lang w:eastAsia="zh-CN"/>
        </w:rPr>
        <w:t xml:space="preserve">: </w:t>
      </w:r>
      <w:r>
        <w:rPr>
          <w:bCs/>
          <w:iCs/>
        </w:rPr>
        <w:t>HD-FDD type A, FD-FDD and TDD are also supported</w:t>
      </w:r>
      <w:r>
        <w:rPr>
          <w:rFonts w:eastAsiaTheme="minorEastAsia"/>
          <w:lang w:eastAsia="zh-CN"/>
        </w:rPr>
        <w:t>;</w:t>
      </w:r>
    </w:p>
    <w:p>
      <w:pPr>
        <w:rPr>
          <w:rFonts w:hint="default"/>
          <w:lang w:val="en-US" w:eastAsia="zh-CN"/>
        </w:rPr>
      </w:pPr>
      <w:r>
        <w:rPr>
          <w:rFonts w:hint="eastAsia"/>
          <w:lang w:val="en-US" w:eastAsia="zh-CN"/>
        </w:rPr>
        <w:t xml:space="preserve">According to the agreements made in RAN1#106e, the </w:t>
      </w:r>
      <w:r>
        <w:rPr>
          <w:rFonts w:ascii="Times New Roman" w:hAnsi="Times New Roman" w:eastAsia="宋体" w:cs="Times New Roman"/>
          <w:szCs w:val="20"/>
          <w:lang w:val="en-US" w:eastAsia="zh-CN" w:bidi="ar-SA"/>
        </w:rPr>
        <w:t>following capabilities to RedCap UE type description</w:t>
      </w:r>
      <w:r>
        <w:rPr>
          <w:rFonts w:hint="eastAsia" w:cs="Times New Roman"/>
          <w:szCs w:val="20"/>
          <w:lang w:val="en-US" w:eastAsia="zh-CN" w:bidi="ar-SA"/>
        </w:rPr>
        <w:t xml:space="preserve"> are proposed to be captured,</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1 or 2 Rx branches and corresponding maximum DL MIMO layers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FD-FDD or Type A HD-FDD operation for FR1 FDD bands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Supports either DL up to 64 QAM or up to 256 QAM for FR1</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Does not support CA/DC</w:t>
      </w:r>
    </w:p>
    <w:p>
      <w:pPr>
        <w:rPr>
          <w:rFonts w:hint="default"/>
          <w:lang w:val="en-US" w:eastAsia="zh-CN"/>
        </w:rPr>
      </w:pPr>
    </w:p>
    <w:p>
      <w:pPr>
        <w:rPr>
          <w:rFonts w:hint="eastAsia"/>
          <w:b/>
          <w:lang w:val="en-US" w:eastAsia="zh-CN"/>
        </w:rPr>
      </w:pPr>
      <w:r>
        <w:rPr>
          <w:b/>
          <w:lang w:eastAsia="zh-CN"/>
        </w:rPr>
        <w:t xml:space="preserve">Proposal 1: </w:t>
      </w:r>
      <w:r>
        <w:rPr>
          <w:rFonts w:hint="eastAsia"/>
          <w:b/>
          <w:lang w:val="en-US" w:eastAsia="zh-CN"/>
        </w:rPr>
        <w:t xml:space="preserve">Capture the </w:t>
      </w:r>
      <w:r>
        <w:rPr>
          <w:b/>
          <w:lang w:val="en-US" w:eastAsia="zh-CN"/>
        </w:rPr>
        <w:t>following capabilities to RedCap UE type description</w:t>
      </w:r>
      <w:r>
        <w:rPr>
          <w:rFonts w:hint="eastAsia"/>
          <w:b/>
          <w:lang w:val="en-US" w:eastAsia="zh-CN"/>
        </w:rPr>
        <w:t>,</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1 or 2 Rx branches and corresponding maximum DL MIMO layers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FD-FDD or Type A HD-FDD operation for FR1 FDD bands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DL up to 64 QAM or up to 256 QAM for FR1</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Does not support CA/DC</w:t>
      </w:r>
    </w:p>
    <w:p>
      <w:pPr>
        <w:rPr>
          <w:rFonts w:hint="default" w:cs="Times New Roman"/>
          <w:szCs w:val="20"/>
          <w:lang w:val="en-US" w:eastAsia="zh-CN" w:bidi="ar-SA"/>
        </w:rPr>
      </w:pP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early indication </w:t>
      </w:r>
      <w:r>
        <w:rPr>
          <w:rFonts w:hint="eastAsia" w:ascii="Times New Roman" w:hAnsi="Times New Roman" w:eastAsiaTheme="minorEastAsia"/>
          <w:lang w:eastAsia="zh-CN"/>
        </w:rPr>
        <w:t>of</w:t>
      </w:r>
      <w:r>
        <w:rPr>
          <w:rFonts w:ascii="Times New Roman" w:hAnsi="Times New Roman" w:eastAsiaTheme="minorEastAsia"/>
          <w:lang w:eastAsia="zh-CN"/>
        </w:rPr>
        <w:t xml:space="preserve"> </w:t>
      </w:r>
      <w:r>
        <w:rPr>
          <w:rFonts w:hint="eastAsia" w:ascii="Times New Roman" w:hAnsi="Times New Roman" w:eastAsiaTheme="minorEastAsia"/>
          <w:lang w:eastAsia="zh-CN"/>
        </w:rPr>
        <w:t>Re</w:t>
      </w:r>
      <w:r>
        <w:rPr>
          <w:rFonts w:ascii="Times New Roman" w:hAnsi="Times New Roman" w:eastAsiaTheme="minorEastAsia"/>
          <w:lang w:eastAsia="zh-CN"/>
        </w:rPr>
        <w:t>dCap UE</w:t>
      </w:r>
    </w:p>
    <w:p>
      <w:pPr>
        <w:rPr>
          <w:rFonts w:hint="eastAsia" w:eastAsia="Times New Roman"/>
          <w:lang w:val="en-US" w:eastAsia="zh-CN"/>
        </w:rPr>
      </w:pPr>
      <w:r>
        <w:rPr>
          <w:rFonts w:hint="eastAsia"/>
          <w:lang w:val="en-US" w:eastAsia="zh-CN"/>
        </w:rPr>
        <w:t>E</w:t>
      </w:r>
      <w:r>
        <w:rPr>
          <w:rFonts w:eastAsia="Times New Roman"/>
          <w:lang w:eastAsia="zh-CN"/>
        </w:rPr>
        <w:t>arly indication of RedCap UEs in Msg1</w:t>
      </w:r>
      <w:r>
        <w:rPr>
          <w:lang w:val="en-US" w:eastAsia="zh-CN"/>
        </w:rPr>
        <w:t xml:space="preserve"> </w:t>
      </w:r>
      <w:r>
        <w:rPr>
          <w:rFonts w:hint="eastAsia"/>
          <w:lang w:val="en-US" w:eastAsia="zh-CN"/>
        </w:rPr>
        <w:t xml:space="preserve">is supported for </w:t>
      </w:r>
      <w:r>
        <w:rPr>
          <w:rFonts w:eastAsia="Times New Roman"/>
          <w:lang w:eastAsia="zh-CN"/>
        </w:rPr>
        <w:t xml:space="preserve">4-step RACH, </w:t>
      </w:r>
      <w:r>
        <w:rPr>
          <w:rFonts w:hint="eastAsia" w:eastAsia="Times New Roman"/>
          <w:lang w:val="en-US" w:eastAsia="zh-CN"/>
        </w:rPr>
        <w:t>the early indication can be enabled or disabled by SIB1 through separate PRACH resources or separate preambles</w:t>
      </w:r>
      <w:r>
        <w:rPr>
          <w:rFonts w:eastAsia="Times New Roman"/>
          <w:lang w:eastAsia="zh-CN"/>
        </w:rPr>
        <w:t>.</w:t>
      </w:r>
      <w:r>
        <w:rPr>
          <w:rFonts w:hint="eastAsia" w:eastAsia="Times New Roman"/>
          <w:lang w:val="en-US" w:eastAsia="zh-CN"/>
        </w:rPr>
        <w:t xml:space="preserve"> For 2-step RACH, RAN1 has agreed to support </w:t>
      </w:r>
      <w:r>
        <w:rPr>
          <w:rFonts w:ascii="Times New Roman" w:hAnsi="Times New Roman" w:eastAsia="宋体" w:cs="Times New Roman"/>
          <w:szCs w:val="20"/>
          <w:lang w:val="en-GB" w:eastAsia="zh-CN" w:bidi="ar-SA"/>
        </w:rPr>
        <w:t>2-step RACH for RedCap UEs as an optional feature</w:t>
      </w:r>
      <w:r>
        <w:rPr>
          <w:rFonts w:hint="eastAsia" w:cs="Times New Roman"/>
          <w:szCs w:val="20"/>
          <w:lang w:val="en-US" w:eastAsia="zh-CN" w:bidi="ar-SA"/>
        </w:rPr>
        <w:t xml:space="preserve">, but </w:t>
      </w:r>
      <w:r>
        <w:rPr>
          <w:rFonts w:hint="eastAsia" w:eastAsia="Times New Roman"/>
          <w:lang w:val="en-US" w:eastAsia="zh-CN"/>
        </w:rPr>
        <w:t>the discussion of early identification is delayed due to its lower priority.</w:t>
      </w:r>
    </w:p>
    <w:p>
      <w:pPr>
        <w:bidi w:val="0"/>
        <w:rPr>
          <w:rFonts w:hint="eastAsia"/>
          <w:lang w:val="en-US" w:eastAsia="zh-CN"/>
        </w:rPr>
      </w:pPr>
      <w:r>
        <w:rPr>
          <w:rFonts w:hint="eastAsia" w:eastAsia="Times New Roman"/>
          <w:lang w:val="en-US" w:eastAsia="zh-CN"/>
        </w:rPr>
        <w:t xml:space="preserve">During RAN2#115e, the following agreements were made[3], </w:t>
      </w:r>
    </w:p>
    <w:p>
      <w:pPr>
        <w:pStyle w:val="148"/>
        <w:pBdr>
          <w:top w:val="single" w:color="auto" w:sz="4" w:space="1"/>
          <w:left w:val="single" w:color="auto" w:sz="4" w:space="4"/>
          <w:bottom w:val="single" w:color="auto" w:sz="4" w:space="1"/>
          <w:right w:val="single" w:color="auto" w:sz="4" w:space="4"/>
        </w:pBdr>
      </w:pPr>
      <w:r>
        <w:t>Agreements:</w:t>
      </w:r>
    </w:p>
    <w:p>
      <w:pPr>
        <w:pStyle w:val="148"/>
        <w:numPr>
          <w:ilvl w:val="0"/>
          <w:numId w:val="10"/>
        </w:numPr>
        <w:pBdr>
          <w:top w:val="single" w:color="auto" w:sz="4" w:space="1"/>
          <w:left w:val="single" w:color="auto" w:sz="4" w:space="4"/>
          <w:bottom w:val="single" w:color="auto" w:sz="4" w:space="1"/>
          <w:right w:val="single" w:color="auto" w:sz="4" w:space="4"/>
        </w:pBdr>
        <w:overflowPunct/>
        <w:autoSpaceDE/>
        <w:autoSpaceDN/>
        <w:adjustRightInd/>
        <w:textAlignment w:val="auto"/>
      </w:pPr>
      <w:r>
        <w:t>Msg1 identification which can be configured to be enabled/disabled can be specified from RAN2 point of view.</w:t>
      </w:r>
    </w:p>
    <w:p>
      <w:pPr>
        <w:pStyle w:val="148"/>
        <w:numPr>
          <w:ilvl w:val="0"/>
          <w:numId w:val="10"/>
        </w:numPr>
        <w:pBdr>
          <w:top w:val="single" w:color="auto" w:sz="4" w:space="1"/>
          <w:left w:val="single" w:color="auto" w:sz="4" w:space="4"/>
          <w:bottom w:val="single" w:color="auto" w:sz="4" w:space="1"/>
          <w:right w:val="single" w:color="auto" w:sz="4" w:space="4"/>
        </w:pBdr>
        <w:overflowPunct/>
        <w:autoSpaceDE/>
        <w:autoSpaceDN/>
        <w:adjustRightInd/>
        <w:textAlignment w:val="auto"/>
      </w:pPr>
      <w:r>
        <w:t>Solution for early identification for 2-step RACH will be specified.</w:t>
      </w:r>
    </w:p>
    <w:p>
      <w:pPr>
        <w:pStyle w:val="148"/>
        <w:numPr>
          <w:ilvl w:val="0"/>
          <w:numId w:val="10"/>
        </w:numPr>
        <w:pBdr>
          <w:top w:val="single" w:color="auto" w:sz="4" w:space="1"/>
          <w:left w:val="single" w:color="auto" w:sz="4" w:space="4"/>
          <w:bottom w:val="single" w:color="auto" w:sz="4" w:space="1"/>
          <w:right w:val="single" w:color="auto" w:sz="4" w:space="4"/>
        </w:pBdr>
        <w:overflowPunct/>
        <w:autoSpaceDE/>
        <w:autoSpaceDN/>
        <w:adjustRightInd/>
        <w:textAlignment w:val="auto"/>
      </w:pPr>
      <w:r>
        <w:t>Specify separate indications in SIB1 for barring RedCap UEs with 1 Rx chain and 2 Rx chains.</w:t>
      </w:r>
    </w:p>
    <w:p>
      <w:pPr>
        <w:pStyle w:val="148"/>
        <w:numPr>
          <w:ilvl w:val="0"/>
          <w:numId w:val="10"/>
        </w:numPr>
        <w:pBdr>
          <w:top w:val="single" w:color="auto" w:sz="4" w:space="1"/>
          <w:left w:val="single" w:color="auto" w:sz="4" w:space="4"/>
          <w:bottom w:val="single" w:color="auto" w:sz="4" w:space="1"/>
          <w:right w:val="single" w:color="auto" w:sz="4" w:space="4"/>
        </w:pBdr>
        <w:overflowPunct/>
        <w:autoSpaceDE/>
        <w:autoSpaceDN/>
        <w:adjustRightInd/>
        <w:textAlignment w:val="auto"/>
      </w:pPr>
      <w:r>
        <w:t>Specify a RedCap specific IFRI in SIB1.</w:t>
      </w:r>
    </w:p>
    <w:p>
      <w:pPr>
        <w:pStyle w:val="159"/>
        <w:rPr>
          <w:rFonts w:hint="default" w:eastAsia="宋体"/>
          <w:lang w:val="en-US" w:eastAsia="zh-CN"/>
        </w:rPr>
      </w:pPr>
    </w:p>
    <w:p>
      <w:pPr>
        <w:rPr>
          <w:rFonts w:hint="eastAsia"/>
          <w:lang w:val="en-US" w:eastAsia="zh-CN"/>
        </w:rPr>
      </w:pPr>
      <w:r>
        <w:rPr>
          <w:rFonts w:hint="eastAsia" w:eastAsia="Times New Roman"/>
          <w:lang w:val="en-US" w:eastAsia="zh-CN"/>
        </w:rPr>
        <w:t xml:space="preserve">According to the agreement, </w:t>
      </w:r>
      <w:r>
        <w:rPr>
          <w:rFonts w:hint="eastAsia"/>
          <w:lang w:val="en-US" w:eastAsia="zh-CN"/>
        </w:rPr>
        <w:t>s</w:t>
      </w:r>
      <w:r>
        <w:t>olution for early identification for 2-step RACH will be specified</w:t>
      </w:r>
      <w:r>
        <w:rPr>
          <w:rFonts w:hint="eastAsia"/>
          <w:lang w:val="en-US" w:eastAsia="zh-CN"/>
        </w:rPr>
        <w:t xml:space="preserve">. </w:t>
      </w:r>
      <w:r>
        <w:rPr>
          <w:rFonts w:hint="eastAsia" w:eastAsia="Times New Roman"/>
          <w:lang w:val="en-US" w:eastAsia="zh-CN"/>
        </w:rPr>
        <w:t xml:space="preserve">By early identification of RedCap UEs in MsgA, gNB can adopt proper scheduling strategy for MsgB, and improve system efficiency. </w:t>
      </w:r>
      <w:r>
        <w:rPr>
          <w:rFonts w:hint="eastAsia"/>
          <w:lang w:val="en-US" w:eastAsia="zh-CN"/>
        </w:rPr>
        <w:t xml:space="preserve">We think common solution for both 4-step and 2-step RACH is desirable. And considering that the transmission of MsgA preamble part is more robust than PUSCH part, it is proposed to use MsgA preamble part for early identification of RedCap UEs. And similar as the agreements of 4-step RACH, </w:t>
      </w:r>
    </w:p>
    <w:p>
      <w:pPr>
        <w:numPr>
          <w:ilvl w:val="0"/>
          <w:numId w:val="11"/>
        </w:numPr>
        <w:ind w:left="420" w:leftChars="0" w:hanging="420" w:firstLineChars="0"/>
        <w:rPr>
          <w:rFonts w:hint="default"/>
          <w:lang w:val="en-US" w:eastAsia="zh-CN"/>
        </w:rPr>
      </w:pPr>
      <w:r>
        <w:rPr>
          <w:rFonts w:hint="eastAsia"/>
          <w:lang w:val="en-US" w:eastAsia="zh-CN"/>
        </w:rPr>
        <w:t>The early identification can be configured to enabled/disabled via SIB.</w:t>
      </w:r>
    </w:p>
    <w:p>
      <w:pPr>
        <w:numPr>
          <w:ilvl w:val="0"/>
          <w:numId w:val="11"/>
        </w:numPr>
        <w:ind w:left="420" w:leftChars="0" w:hanging="420" w:firstLineChars="0"/>
        <w:rPr>
          <w:rFonts w:hint="default"/>
          <w:lang w:val="en-US" w:eastAsia="zh-CN"/>
        </w:rPr>
      </w:pPr>
      <w:r>
        <w:rPr>
          <w:rFonts w:hint="eastAsia"/>
          <w:lang w:val="en-US" w:eastAsia="zh-CN"/>
        </w:rPr>
        <w:t>Early identification of RedCap UEs can be realized by separate PRACH resource or PRACH preamble partitioning.</w:t>
      </w:r>
    </w:p>
    <w:p>
      <w:pPr>
        <w:rPr>
          <w:rFonts w:hint="eastAsia" w:ascii="Times" w:hAnsi="Times" w:eastAsia="Times New Roman"/>
          <w:b/>
          <w:bCs w:val="0"/>
          <w:szCs w:val="24"/>
          <w:lang w:val="en-US" w:eastAsia="zh-CN"/>
        </w:rPr>
      </w:pPr>
      <w:r>
        <w:rPr>
          <w:rFonts w:hint="eastAsia"/>
          <w:b/>
          <w:bCs w:val="0"/>
          <w:lang w:val="en-US" w:eastAsia="zh-CN"/>
        </w:rPr>
        <w:t xml:space="preserve">Proposal 2: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-step RACH, support the early indication of RedCap UEs at least in Msg</w:t>
      </w:r>
      <w:r>
        <w:rPr>
          <w:rFonts w:hint="eastAsia" w:ascii="Times" w:hAnsi="Times" w:eastAsia="Times New Roman"/>
          <w:b/>
          <w:bCs w:val="0"/>
          <w:szCs w:val="24"/>
          <w:lang w:val="en-US" w:eastAsia="zh-CN"/>
        </w:rPr>
        <w:t>A preamble part.</w:t>
      </w:r>
    </w:p>
    <w:p>
      <w:pPr>
        <w:rPr>
          <w:rFonts w:hint="eastAsia"/>
          <w:b/>
          <w:bCs w:val="0"/>
          <w:lang w:val="en-US" w:eastAsia="zh-CN"/>
        </w:rPr>
      </w:pPr>
      <w:r>
        <w:rPr>
          <w:rFonts w:hint="eastAsia" w:ascii="Times" w:hAnsi="Times" w:eastAsia="Times New Roman"/>
          <w:b/>
          <w:bCs w:val="0"/>
          <w:szCs w:val="24"/>
          <w:lang w:val="en-US" w:eastAsia="zh-CN"/>
        </w:rPr>
        <w:t>Proposal 3:</w:t>
      </w:r>
      <w:r>
        <w:rPr>
          <w:rFonts w:hint="eastAsia"/>
          <w:b/>
          <w:bCs w:val="0"/>
          <w:lang w:val="en-US" w:eastAsia="zh-CN"/>
        </w:rPr>
        <w:t xml:space="preserve"> Early identification of RedCap for 2-step RACH can be configured to enabled/disabled via SIB.</w:t>
      </w:r>
    </w:p>
    <w:p>
      <w:pPr>
        <w:rPr>
          <w:rFonts w:hint="eastAsia"/>
          <w:b/>
          <w:bCs w:val="0"/>
          <w:lang w:val="en-US" w:eastAsia="zh-CN"/>
        </w:rPr>
      </w:pPr>
      <w:r>
        <w:rPr>
          <w:rFonts w:hint="eastAsia"/>
          <w:b/>
          <w:bCs w:val="0"/>
          <w:lang w:val="en-US" w:eastAsia="zh-CN"/>
        </w:rPr>
        <w:t>Proposal 4: The following methods can be used for early indication both for shared initial UL BWP and separate initial UL BWP (if supported)</w:t>
      </w:r>
    </w:p>
    <w:p>
      <w:pPr>
        <w:numPr>
          <w:ilvl w:val="0"/>
          <w:numId w:val="12"/>
        </w:numPr>
        <w:ind w:left="840" w:leftChars="0" w:hanging="420" w:firstLineChars="0"/>
        <w:rPr>
          <w:rFonts w:hint="eastAsia"/>
          <w:b/>
          <w:bCs w:val="0"/>
          <w:lang w:val="en-US" w:eastAsia="zh-CN"/>
        </w:rPr>
      </w:pPr>
      <w:r>
        <w:rPr>
          <w:rFonts w:hint="eastAsia"/>
          <w:b/>
          <w:bCs w:val="0"/>
          <w:lang w:val="en-US" w:eastAsia="zh-CN"/>
        </w:rPr>
        <w:t>Separate PRACH resource</w:t>
      </w:r>
    </w:p>
    <w:p>
      <w:pPr>
        <w:numPr>
          <w:ilvl w:val="0"/>
          <w:numId w:val="12"/>
        </w:numPr>
        <w:ind w:left="840" w:leftChars="0" w:hanging="420" w:firstLineChars="0"/>
        <w:rPr>
          <w:rFonts w:hint="default"/>
          <w:b/>
          <w:bCs w:val="0"/>
          <w:lang w:val="en-US" w:eastAsia="zh-CN"/>
        </w:rPr>
      </w:pPr>
      <w:r>
        <w:rPr>
          <w:rFonts w:hint="eastAsia"/>
          <w:b/>
          <w:bCs w:val="0"/>
          <w:lang w:val="en-US" w:eastAsia="zh-CN"/>
        </w:rPr>
        <w:t>PRACH preamble partitioning</w:t>
      </w:r>
    </w:p>
    <w:p>
      <w:pPr>
        <w:rPr>
          <w:rFonts w:hint="default"/>
          <w:b/>
          <w:lang w:val="en-US" w:eastAsia="zh-CN"/>
        </w:rPr>
      </w:pP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eastAsia="zh-CN"/>
        </w:rPr>
        <w:t xml:space="preserve">considerations on </w:t>
      </w:r>
      <w:r>
        <w:rPr>
          <w:bCs/>
          <w:lang w:eastAsia="zh-CN"/>
        </w:rPr>
        <w:t>higher layer aspects such as RedCap UE type definition, UE early identification are discussed</w:t>
      </w:r>
      <w:r>
        <w:rPr>
          <w:lang w:eastAsia="zh-CN"/>
        </w:rPr>
        <w:t>, and the following observation and proposals are made.</w:t>
      </w:r>
    </w:p>
    <w:p>
      <w:pPr>
        <w:rPr>
          <w:rFonts w:hint="eastAsia"/>
          <w:b/>
          <w:lang w:val="en-US" w:eastAsia="zh-CN"/>
        </w:rPr>
      </w:pPr>
      <w:r>
        <w:rPr>
          <w:b/>
          <w:lang w:eastAsia="zh-CN"/>
        </w:rPr>
        <w:t xml:space="preserve">Proposal 1: </w:t>
      </w:r>
      <w:r>
        <w:rPr>
          <w:rFonts w:hint="eastAsia"/>
          <w:b/>
          <w:lang w:val="en-US" w:eastAsia="zh-CN"/>
        </w:rPr>
        <w:t xml:space="preserve">Capture the </w:t>
      </w:r>
      <w:r>
        <w:rPr>
          <w:b/>
          <w:lang w:val="en-US" w:eastAsia="zh-CN"/>
        </w:rPr>
        <w:t>following capabilities to RedCap UE type description</w:t>
      </w:r>
      <w:r>
        <w:rPr>
          <w:rFonts w:hint="eastAsia"/>
          <w:b/>
          <w:lang w:val="en-US" w:eastAsia="zh-CN"/>
        </w:rPr>
        <w:t>,</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1 or 2 Rx branches and corresponding maximum DL MIMO layers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FD-FDD or Type A HD-FDD operation for FR1 FDD bands</w:t>
      </w:r>
    </w:p>
    <w:p>
      <w:pPr>
        <w:numPr>
          <w:ilvl w:val="0"/>
          <w:numId w:val="7"/>
        </w:numPr>
        <w:overflowPunct w:val="0"/>
        <w:autoSpaceDE w:val="0"/>
        <w:autoSpaceDN w:val="0"/>
        <w:adjustRightInd w:val="0"/>
        <w:spacing w:after="180"/>
        <w:ind w:left="720" w:leftChars="0" w:hanging="360" w:firstLineChars="0"/>
        <w:contextualSpacing/>
        <w:textAlignment w:val="baseline"/>
        <w:rPr>
          <w:rFonts w:ascii="Times New Roman" w:hAnsi="Times New Roman" w:eastAsia="宋体" w:cs="Times New Roman"/>
          <w:b/>
          <w:bCs/>
          <w:szCs w:val="20"/>
          <w:lang w:val="en-US" w:eastAsia="zh-CN" w:bidi="ar-SA"/>
        </w:rPr>
      </w:pPr>
      <w:r>
        <w:rPr>
          <w:rFonts w:ascii="Times New Roman" w:hAnsi="Times New Roman" w:eastAsia="宋体" w:cs="Times New Roman"/>
          <w:b/>
          <w:bCs/>
          <w:szCs w:val="20"/>
          <w:lang w:val="en-US" w:eastAsia="zh-CN" w:bidi="ar-SA"/>
        </w:rPr>
        <w:t>Supports either DL up to 64 QAM or up to 256 QAM for FR1</w:t>
      </w:r>
    </w:p>
    <w:p>
      <w:pPr>
        <w:numPr>
          <w:ilvl w:val="0"/>
          <w:numId w:val="7"/>
        </w:numPr>
        <w:overflowPunct w:val="0"/>
        <w:autoSpaceDE w:val="0"/>
        <w:autoSpaceDN w:val="0"/>
        <w:adjustRightInd w:val="0"/>
        <w:spacing w:after="180"/>
        <w:ind w:left="720" w:leftChars="0" w:hanging="360" w:firstLineChars="0"/>
        <w:contextualSpacing/>
        <w:textAlignment w:val="baseline"/>
        <w:rPr>
          <w:b/>
          <w:lang w:eastAsia="zh-CN"/>
        </w:rPr>
      </w:pPr>
      <w:r>
        <w:rPr>
          <w:rFonts w:ascii="Times New Roman" w:hAnsi="Times New Roman" w:eastAsia="宋体" w:cs="Times New Roman"/>
          <w:b/>
          <w:bCs/>
          <w:szCs w:val="20"/>
          <w:lang w:val="en-US" w:eastAsia="zh-CN" w:bidi="ar-SA"/>
        </w:rPr>
        <w:t>Does not support CA/DC</w:t>
      </w:r>
    </w:p>
    <w:p>
      <w:pPr>
        <w:rPr>
          <w:rFonts w:hint="eastAsia" w:ascii="Times" w:hAnsi="Times" w:eastAsia="Times New Roman"/>
          <w:b/>
          <w:bCs w:val="0"/>
          <w:szCs w:val="24"/>
          <w:lang w:val="en-US" w:eastAsia="zh-CN"/>
        </w:rPr>
      </w:pPr>
      <w:r>
        <w:rPr>
          <w:rFonts w:hint="eastAsia"/>
          <w:b/>
          <w:bCs w:val="0"/>
          <w:lang w:val="en-US" w:eastAsia="zh-CN"/>
        </w:rPr>
        <w:t xml:space="preserve">Proposal 2: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-step RACH, support the early indication of RedCap UEs at least in Msg</w:t>
      </w:r>
      <w:r>
        <w:rPr>
          <w:rFonts w:hint="eastAsia" w:ascii="Times" w:hAnsi="Times" w:eastAsia="Times New Roman"/>
          <w:b/>
          <w:bCs w:val="0"/>
          <w:szCs w:val="24"/>
          <w:lang w:val="en-US" w:eastAsia="zh-CN"/>
        </w:rPr>
        <w:t>A preamble part.</w:t>
      </w:r>
    </w:p>
    <w:p>
      <w:pPr>
        <w:rPr>
          <w:rFonts w:hint="eastAsia"/>
          <w:b/>
          <w:bCs w:val="0"/>
          <w:lang w:val="en-US" w:eastAsia="zh-CN"/>
        </w:rPr>
      </w:pPr>
      <w:r>
        <w:rPr>
          <w:rFonts w:hint="eastAsia" w:ascii="Times" w:hAnsi="Times" w:eastAsia="Times New Roman"/>
          <w:b/>
          <w:bCs w:val="0"/>
          <w:szCs w:val="24"/>
          <w:lang w:val="en-US" w:eastAsia="zh-CN"/>
        </w:rPr>
        <w:t>Proposal 3:</w:t>
      </w:r>
      <w:r>
        <w:rPr>
          <w:rFonts w:hint="eastAsia"/>
          <w:b/>
          <w:bCs w:val="0"/>
          <w:lang w:val="en-US" w:eastAsia="zh-CN"/>
        </w:rPr>
        <w:t xml:space="preserve"> Early identification of RedCap for 2-step RACH can be configured to enabled/disabled via SIB.</w:t>
      </w:r>
    </w:p>
    <w:p>
      <w:pPr>
        <w:rPr>
          <w:rFonts w:hint="eastAsia"/>
          <w:b/>
          <w:bCs w:val="0"/>
          <w:lang w:val="en-US" w:eastAsia="zh-CN"/>
        </w:rPr>
      </w:pPr>
      <w:r>
        <w:rPr>
          <w:rFonts w:hint="eastAsia"/>
          <w:b/>
          <w:bCs w:val="0"/>
          <w:lang w:val="en-US" w:eastAsia="zh-CN"/>
        </w:rPr>
        <w:t>Proposal 4: The following methods can be used for early indication both for shared initial UL BWP and separate initial UL BWP (if supported)</w:t>
      </w:r>
    </w:p>
    <w:p>
      <w:pPr>
        <w:numPr>
          <w:ilvl w:val="0"/>
          <w:numId w:val="12"/>
        </w:numPr>
        <w:ind w:left="840" w:leftChars="0" w:hanging="420" w:firstLineChars="0"/>
        <w:rPr>
          <w:rFonts w:hint="eastAsia"/>
          <w:b/>
          <w:bCs w:val="0"/>
          <w:lang w:val="en-US" w:eastAsia="zh-CN"/>
        </w:rPr>
      </w:pPr>
      <w:r>
        <w:rPr>
          <w:rFonts w:hint="eastAsia"/>
          <w:b/>
          <w:bCs w:val="0"/>
          <w:lang w:val="en-US" w:eastAsia="zh-CN"/>
        </w:rPr>
        <w:t>Separate PRACH resource</w:t>
      </w:r>
    </w:p>
    <w:p>
      <w:pPr>
        <w:numPr>
          <w:ilvl w:val="0"/>
          <w:numId w:val="12"/>
        </w:numPr>
        <w:ind w:left="840" w:leftChars="0" w:hanging="420" w:firstLineChars="0"/>
        <w:rPr>
          <w:rFonts w:hint="default"/>
          <w:b/>
          <w:bCs w:val="0"/>
          <w:lang w:val="en-US" w:eastAsia="zh-CN"/>
        </w:rPr>
      </w:pPr>
      <w:r>
        <w:rPr>
          <w:rFonts w:hint="eastAsia"/>
          <w:b/>
          <w:bCs w:val="0"/>
          <w:lang w:val="en-US" w:eastAsia="zh-CN"/>
        </w:rPr>
        <w:t>PRACH preamble partitioning</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3"/>
        </w:numPr>
        <w:outlineLvl w:val="0"/>
        <w:rPr>
          <w:lang w:val="zh-CN" w:eastAsia="zh-CN"/>
        </w:rPr>
      </w:pPr>
      <w:r>
        <w:rPr>
          <w:rFonts w:hint="eastAsia"/>
          <w:lang w:val="en-US"/>
        </w:rPr>
        <w:t>Draft Report of 3GPP TSG RAN WG1 #106-e v0.2.0</w:t>
      </w:r>
      <w:r>
        <w:rPr>
          <w:rFonts w:hint="eastAsia"/>
          <w:lang w:val="en-US" w:eastAsia="zh-CN"/>
        </w:rPr>
        <w:t>.</w:t>
      </w:r>
    </w:p>
    <w:p>
      <w:pPr>
        <w:numPr>
          <w:ilvl w:val="0"/>
          <w:numId w:val="13"/>
        </w:numPr>
        <w:outlineLvl w:val="0"/>
        <w:rPr>
          <w:lang w:val="zh-CN" w:eastAsia="zh-CN"/>
        </w:rPr>
      </w:pPr>
      <w:r>
        <w:rPr>
          <w:rFonts w:hint="eastAsia"/>
          <w:lang w:val="zh-CN" w:eastAsia="zh-CN"/>
        </w:rPr>
        <w:t>Draft Report of 3GPP TSG RAN WG1 #105-e v0.2.0</w:t>
      </w:r>
      <w:r>
        <w:rPr>
          <w:rFonts w:hint="eastAsia"/>
          <w:lang w:val="en-US" w:eastAsia="zh-CN"/>
        </w:rPr>
        <w:t>.</w:t>
      </w:r>
    </w:p>
    <w:p>
      <w:pPr>
        <w:numPr>
          <w:ilvl w:val="0"/>
          <w:numId w:val="13"/>
        </w:numPr>
        <w:outlineLvl w:val="0"/>
        <w:rPr>
          <w:lang w:val="zh-CN" w:eastAsia="zh-CN"/>
        </w:rPr>
      </w:pPr>
      <w:r>
        <w:rPr>
          <w:rFonts w:hint="eastAsia"/>
          <w:lang w:val="zh-CN" w:eastAsia="zh-CN"/>
        </w:rPr>
        <w:t>R2-2106901</w:t>
      </w:r>
      <w:r>
        <w:rPr>
          <w:rFonts w:hint="eastAsia"/>
          <w:lang w:val="en-US" w:eastAsia="zh-CN"/>
        </w:rPr>
        <w:t>, Report of 3GPP TSG RAN WG2 meeting #114-e, Online.</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403F"/>
    <w:multiLevelType w:val="singleLevel"/>
    <w:tmpl w:val="82AE403F"/>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603392"/>
    <w:multiLevelType w:val="multilevel"/>
    <w:tmpl w:val="206033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1246A5"/>
    <w:multiLevelType w:val="singleLevel"/>
    <w:tmpl w:val="381246A5"/>
    <w:lvl w:ilvl="0" w:tentative="0">
      <w:start w:val="1"/>
      <w:numFmt w:val="bullet"/>
      <w:lvlText w:val=""/>
      <w:lvlJc w:val="left"/>
      <w:pPr>
        <w:ind w:left="420" w:hanging="420"/>
      </w:pPr>
      <w:rPr>
        <w:rFonts w:hint="default" w:ascii="Wingdings" w:hAnsi="Wingdings"/>
      </w:r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49062016"/>
    <w:multiLevelType w:val="multilevel"/>
    <w:tmpl w:val="4906201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F0311CB"/>
    <w:multiLevelType w:val="singleLevel"/>
    <w:tmpl w:val="5F0311CB"/>
    <w:lvl w:ilvl="0" w:tentative="0">
      <w:start w:val="1"/>
      <w:numFmt w:val="bullet"/>
      <w:lvlText w:val="ᵒ"/>
      <w:lvlJc w:val="left"/>
      <w:pPr>
        <w:tabs>
          <w:tab w:val="left" w:pos="420"/>
        </w:tabs>
        <w:ind w:left="840" w:leftChars="0" w:hanging="420" w:firstLineChars="0"/>
      </w:pPr>
      <w:rPr>
        <w:rFonts w:hint="default" w:ascii="Arial" w:hAnsi="Arial" w:cs="Arial"/>
      </w:rPr>
    </w:lvl>
  </w:abstractNum>
  <w:abstractNum w:abstractNumId="10">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786913D6"/>
    <w:multiLevelType w:val="multilevel"/>
    <w:tmpl w:val="786913D6"/>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
  </w:num>
  <w:num w:numId="3">
    <w:abstractNumId w:val="12"/>
  </w:num>
  <w:num w:numId="4">
    <w:abstractNumId w:val="8"/>
  </w:num>
  <w:num w:numId="5">
    <w:abstractNumId w:val="5"/>
    <w:lvlOverride w:ilvl="0">
      <w:startOverride w:val="1"/>
    </w:lvlOverride>
  </w:num>
  <w:num w:numId="6">
    <w:abstractNumId w:val="7"/>
  </w:num>
  <w:num w:numId="7">
    <w:abstractNumId w:val="3"/>
  </w:num>
  <w:num w:numId="8">
    <w:abstractNumId w:val="2"/>
  </w:num>
  <w:num w:numId="9">
    <w:abstractNumId w:val="11"/>
  </w:num>
  <w:num w:numId="10">
    <w:abstractNumId w:val="6"/>
  </w:num>
  <w:num w:numId="11">
    <w:abstractNumId w:val="4"/>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1FD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5E5"/>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252"/>
    <w:rsid w:val="00483577"/>
    <w:rsid w:val="004835E4"/>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19"/>
    <w:rsid w:val="00541D2B"/>
    <w:rsid w:val="00541DE4"/>
    <w:rsid w:val="00542012"/>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636"/>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79E"/>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3D3E"/>
    <w:rsid w:val="006040C8"/>
    <w:rsid w:val="006042B5"/>
    <w:rsid w:val="0060430E"/>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D31"/>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7C0"/>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9B1"/>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591"/>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954"/>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32"/>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287F"/>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691"/>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38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29"/>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B91"/>
    <w:rsid w:val="00FF4EEB"/>
    <w:rsid w:val="00FF545B"/>
    <w:rsid w:val="00FF5EB6"/>
    <w:rsid w:val="00FF5F13"/>
    <w:rsid w:val="00FF62D0"/>
    <w:rsid w:val="00FF638F"/>
    <w:rsid w:val="00FF67F6"/>
    <w:rsid w:val="00FF6E94"/>
    <w:rsid w:val="00FF7226"/>
    <w:rsid w:val="00FF72BF"/>
    <w:rsid w:val="06570AD4"/>
    <w:rsid w:val="08FE247F"/>
    <w:rsid w:val="090D4AA4"/>
    <w:rsid w:val="13594A5F"/>
    <w:rsid w:val="13FB228B"/>
    <w:rsid w:val="1B5E010B"/>
    <w:rsid w:val="37FC6C4E"/>
    <w:rsid w:val="43D66B45"/>
    <w:rsid w:val="49FA089B"/>
    <w:rsid w:val="4F2E0DD1"/>
    <w:rsid w:val="59BB00CE"/>
    <w:rsid w:val="5B2374E7"/>
    <w:rsid w:val="695066A6"/>
    <w:rsid w:val="71FD1407"/>
    <w:rsid w:val="7B7A5C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99" w:semiHidden="0" w:name="List 2"/>
    <w:lsdException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uiPriority w:val="99"/>
    <w:pPr>
      <w:ind w:left="1135"/>
    </w:pPr>
  </w:style>
  <w:style w:type="paragraph" w:styleId="13">
    <w:name w:val="List 2"/>
    <w:basedOn w:val="14"/>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B65CB-3852-439F-85AE-26AB4263CEDF}">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5</Pages>
  <Words>1979</Words>
  <Characters>11282</Characters>
  <Lines>94</Lines>
  <Paragraphs>26</Paragraphs>
  <TotalTime>2</TotalTime>
  <ScaleCrop>false</ScaleCrop>
  <LinksUpToDate>false</LinksUpToDate>
  <CharactersWithSpaces>13235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2021-08-06T10:22:00Z</dcterms:created>
  <dc:creator>CMCC</dc:creator>
  <cp:keywords>ESA, style sheet, Winword</cp:keywords>
  <cp:lastModifiedBy>狐狸姐</cp:lastModifiedBy>
  <cp:lastPrinted>2013-04-02T02:18:00Z</cp:lastPrinted>
  <dcterms:modified xsi:type="dcterms:W3CDTF">2021-09-30T08:42:48Z</dcterms:modified>
  <dc:subject>Word for Windows 6.x &amp; 95+</dc:subject>
  <dc:title>ETSI stylesheet (v.7.0)</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